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b/>
          <w:bCs/>
          <w:spacing w:val="0"/>
          <w:sz w:val="44"/>
          <w:szCs w:val="36"/>
          <w:lang w:eastAsia="zh-CN"/>
        </w:rPr>
      </w:pPr>
      <w:bookmarkStart w:id="0" w:name="_GoBack"/>
      <w:bookmarkEnd w:id="0"/>
      <w:r>
        <w:rPr>
          <w:rFonts w:hint="eastAsia" w:ascii="方正小标宋简体" w:hAnsi="方正小标宋简体" w:eastAsia="方正小标宋简体" w:cs="方正小标宋简体"/>
          <w:b/>
          <w:bCs/>
          <w:spacing w:val="0"/>
          <w:sz w:val="44"/>
          <w:szCs w:val="36"/>
          <w:lang w:eastAsia="zh-CN"/>
        </w:rPr>
        <w:t>【企业年度报告】迅捷物流公司202</w:t>
      </w:r>
      <w:r>
        <w:rPr>
          <w:rFonts w:hint="eastAsia" w:ascii="方正小标宋简体" w:hAnsi="方正小标宋简体" w:eastAsia="方正小标宋简体" w:cs="方正小标宋简体"/>
          <w:b/>
          <w:bCs/>
          <w:spacing w:val="0"/>
          <w:sz w:val="44"/>
          <w:szCs w:val="36"/>
          <w:lang w:val="en-US" w:eastAsia="zh-CN"/>
        </w:rPr>
        <w:t>3</w:t>
      </w:r>
      <w:r>
        <w:rPr>
          <w:rFonts w:hint="eastAsia" w:ascii="方正小标宋简体" w:hAnsi="方正小标宋简体" w:eastAsia="方正小标宋简体" w:cs="方正小标宋简体"/>
          <w:b/>
          <w:bCs/>
          <w:spacing w:val="0"/>
          <w:sz w:val="44"/>
          <w:szCs w:val="36"/>
          <w:lang w:eastAsia="zh-CN"/>
        </w:rPr>
        <w:t>年度工作报告（摘要）</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方正仿宋_GBK" w:cs="宋体"/>
          <w:snapToGrid/>
          <w:spacing w:val="0"/>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方正仿宋_GBK" w:cs="宋体"/>
          <w:snapToGrid/>
          <w:spacing w:val="0"/>
          <w:kern w:val="2"/>
          <w:sz w:val="32"/>
          <w:szCs w:val="24"/>
          <w:lang w:val="en-US" w:eastAsia="zh-CN" w:bidi="ar-SA"/>
        </w:rPr>
      </w:pPr>
      <w:r>
        <w:rPr>
          <w:rFonts w:hint="default" w:ascii="Times New Roman" w:hAnsi="Times New Roman" w:eastAsia="方正仿宋_GBK" w:cs="宋体"/>
          <w:snapToGrid/>
          <w:spacing w:val="0"/>
          <w:kern w:val="2"/>
          <w:sz w:val="32"/>
          <w:szCs w:val="24"/>
          <w:lang w:val="en-US" w:eastAsia="zh-CN" w:bidi="ar-SA"/>
        </w:rPr>
        <w:t>2023年实现营收6.28亿元，完成预算10亿元的62.8%，同比增长25.3%；实现利润总额1073万元，完成预算697万元的153.9%，同比增长77.94%；实现净利润883万元，完成预算450万元的196.1%，同比增长73.48%。</w:t>
      </w:r>
    </w:p>
    <w:p>
      <w:pPr>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方正仿宋_GBK" w:cs="宋体"/>
          <w:b w:val="0"/>
          <w:bCs w:val="0"/>
          <w:sz w:val="32"/>
          <w:szCs w:val="24"/>
          <w:lang w:val="en-US" w:eastAsia="zh-CN"/>
        </w:rPr>
      </w:pPr>
      <w:r>
        <w:rPr>
          <w:rFonts w:hint="default" w:ascii="Times New Roman" w:hAnsi="Times New Roman" w:eastAsia="方正仿宋_GBK" w:cs="宋体"/>
          <w:b w:val="0"/>
          <w:bCs w:val="0"/>
          <w:sz w:val="32"/>
          <w:szCs w:val="24"/>
          <w:lang w:val="en-US" w:eastAsia="zh-CN"/>
        </w:rPr>
        <w:t>（一）发展态势向上向好。园区租赁效益持续释放，高远二期新建成4.3万平方高标仓全部完成出租，三个园区</w:t>
      </w:r>
      <w:r>
        <w:rPr>
          <w:rFonts w:hint="eastAsia" w:ascii="Times New Roman" w:hAnsi="Times New Roman" w:eastAsia="方正仿宋_GBK" w:cs="宋体"/>
          <w:b w:val="0"/>
          <w:bCs w:val="0"/>
          <w:sz w:val="32"/>
          <w:szCs w:val="24"/>
          <w:lang w:val="en-US" w:eastAsia="zh-CN"/>
        </w:rPr>
        <w:t>仓库</w:t>
      </w:r>
      <w:r>
        <w:rPr>
          <w:rFonts w:hint="default" w:ascii="Times New Roman" w:hAnsi="Times New Roman" w:eastAsia="方正仿宋_GBK" w:cs="宋体"/>
          <w:b w:val="0"/>
          <w:bCs w:val="0"/>
          <w:sz w:val="32"/>
          <w:szCs w:val="24"/>
          <w:lang w:val="en-US" w:eastAsia="zh-CN"/>
        </w:rPr>
        <w:t>出租率</w:t>
      </w:r>
      <w:r>
        <w:rPr>
          <w:rFonts w:hint="eastAsia" w:ascii="Times New Roman" w:hAnsi="Times New Roman" w:eastAsia="方正仿宋_GBK" w:cs="宋体"/>
          <w:b w:val="0"/>
          <w:bCs w:val="0"/>
          <w:sz w:val="32"/>
          <w:szCs w:val="24"/>
          <w:lang w:val="en-US" w:eastAsia="zh-CN"/>
        </w:rPr>
        <w:t>近100</w:t>
      </w:r>
      <w:r>
        <w:rPr>
          <w:rFonts w:hint="default" w:ascii="Times New Roman" w:hAnsi="Times New Roman" w:eastAsia="方正仿宋_GBK" w:cs="宋体"/>
          <w:b w:val="0"/>
          <w:bCs w:val="0"/>
          <w:sz w:val="32"/>
          <w:szCs w:val="24"/>
          <w:lang w:val="en-US" w:eastAsia="zh-CN"/>
        </w:rPr>
        <w:t>%。多式联运再获突破，由原来单一公路运输，转向公铁、公水、公海多式联运，运输占比、份额不断提升，2023年成功中标并承运晶澳、通威太阳能光伏组件规模达3700兆瓦，营收突破1.8亿元，线路拓展至新疆、西藏、内蒙、海南等地。仓配一体化稳定运营，稳健运作中石油、中石化省内8个地市加油站非油品配送业务和驿达公司全省高速服务区超市配送业务，平稳运营钱大妈、蜀海、淘菜菜等冷链配送业务。地材业务成功转型，实现“零的突破”后，迅速复制扩张，成功中标集团高速公路建设地材供应项目26个，合同金额7.9亿元，完成营收3.8亿元。与混凝土外加剂行业龙头企业江苏苏博特新材料公司签订战略合作协议，取得山东丰源集团2023年安徽省板材独家代理权，目前合作成效良好。</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方正仿宋_GBK" w:cs="宋体"/>
          <w:b w:val="0"/>
          <w:bCs w:val="0"/>
          <w:sz w:val="32"/>
          <w:szCs w:val="24"/>
          <w:lang w:val="en-US" w:eastAsia="zh-CN"/>
        </w:rPr>
      </w:pPr>
      <w:r>
        <w:rPr>
          <w:rFonts w:ascii="Times New Roman" w:hAnsi="Times New Roman" w:eastAsia="方正仿宋_GBK" w:cs="宋体"/>
          <w:b w:val="0"/>
          <w:bCs w:val="0"/>
          <w:sz w:val="32"/>
          <w:szCs w:val="24"/>
        </w:rPr>
        <w:t>（二）</w:t>
      </w:r>
      <w:r>
        <w:rPr>
          <w:rFonts w:hint="default" w:ascii="Times New Roman" w:hAnsi="Times New Roman" w:eastAsia="方正仿宋_GBK" w:cs="宋体"/>
          <w:b w:val="0"/>
          <w:bCs w:val="0"/>
          <w:sz w:val="32"/>
          <w:szCs w:val="24"/>
          <w:lang w:val="en-US" w:eastAsia="zh-CN"/>
        </w:rPr>
        <w:t>风控管理有力有效。进一步加强风控管理、合规建设，风控能力不断增强。推进经营业务全流程管理，开展经营业务、投资项目“两个后评价”，完成内控及风险预警指标“两个体系”优化，全年审核合同502份、出具律师意见书400份，风控管理更加严密。紧紧依托内部协同推动转型发展，不再开展集团外供应链业务，持续拓展集团高速公路建设项目材料供应业务，扎实做好新拓展项目前期论证、过程管控、经营后评价工作，增量风险未再出现。</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default" w:ascii="Times New Roman" w:hAnsi="Times New Roman" w:eastAsia="方正仿宋_GBK" w:cs="宋体"/>
          <w:b w:val="0"/>
          <w:bCs w:val="0"/>
          <w:sz w:val="32"/>
          <w:szCs w:val="24"/>
          <w:lang w:val="en-US" w:eastAsia="zh-CN"/>
        </w:rPr>
      </w:pPr>
      <w:r>
        <w:rPr>
          <w:rFonts w:hint="default" w:ascii="Times New Roman" w:hAnsi="Times New Roman" w:eastAsia="方正仿宋_GBK" w:cs="宋体"/>
          <w:b w:val="0"/>
          <w:bCs w:val="0"/>
          <w:sz w:val="32"/>
          <w:szCs w:val="24"/>
          <w:lang w:eastAsia="zh-CN"/>
        </w:rPr>
        <w:t>（</w:t>
      </w:r>
      <w:r>
        <w:rPr>
          <w:rFonts w:hint="default" w:ascii="Times New Roman" w:hAnsi="Times New Roman" w:eastAsia="方正仿宋_GBK" w:cs="宋体"/>
          <w:b w:val="0"/>
          <w:bCs w:val="0"/>
          <w:sz w:val="32"/>
          <w:szCs w:val="24"/>
          <w:lang w:val="en-US" w:eastAsia="zh-CN"/>
        </w:rPr>
        <w:t>三</w:t>
      </w:r>
      <w:r>
        <w:rPr>
          <w:rFonts w:hint="default" w:ascii="Times New Roman" w:hAnsi="Times New Roman" w:eastAsia="方正仿宋_GBK" w:cs="宋体"/>
          <w:b w:val="0"/>
          <w:bCs w:val="0"/>
          <w:sz w:val="32"/>
          <w:szCs w:val="24"/>
          <w:lang w:eastAsia="zh-CN"/>
        </w:rPr>
        <w:t>）</w:t>
      </w:r>
      <w:r>
        <w:rPr>
          <w:rFonts w:hint="default" w:ascii="Times New Roman" w:hAnsi="Times New Roman" w:eastAsia="方正仿宋_GBK" w:cs="宋体"/>
          <w:b w:val="0"/>
          <w:bCs w:val="0"/>
          <w:sz w:val="32"/>
          <w:szCs w:val="24"/>
          <w:lang w:val="en-US" w:eastAsia="zh-CN"/>
        </w:rPr>
        <w:t>内部</w:t>
      </w:r>
      <w:r>
        <w:rPr>
          <w:rFonts w:hint="default" w:ascii="Times New Roman" w:hAnsi="Times New Roman" w:eastAsia="方正仿宋_GBK" w:cs="宋体"/>
          <w:b w:val="0"/>
          <w:bCs w:val="0"/>
          <w:sz w:val="32"/>
          <w:szCs w:val="24"/>
        </w:rPr>
        <w:t>改革</w:t>
      </w:r>
      <w:r>
        <w:rPr>
          <w:rFonts w:hint="default" w:ascii="Times New Roman" w:hAnsi="Times New Roman" w:eastAsia="方正仿宋_GBK" w:cs="宋体"/>
          <w:b w:val="0"/>
          <w:bCs w:val="0"/>
          <w:sz w:val="32"/>
          <w:szCs w:val="24"/>
          <w:lang w:val="en-US" w:eastAsia="zh-CN"/>
        </w:rPr>
        <w:t>走深走实。在2021年、2022年两轮改革基础上，实施新一轮内部改革。深化机构改革，探索设立园区运营管理中心，将肥东公司、皖江公司合署办公，推进同质化整合，集约管理初见成效；设立材料供应链分公司，与巢湖公司两块牌子、一套班子，材料供应业务初具规模。深化“三项制度”改革，突出“忠专实”“勤正廉”，提拔2名表现突出的一线年轻干部、1名总经理助理，对本部3名干部进行交流调整，一线经营管理力量不断加强。开展本部主管及以上人员职级竞聘，5名职工实现职级晋升，校招引进4名高校毕业生，开展各类培训10余场，干部人才队伍结构不断优化、素质持续提升。充分发挥考核“指挥棒”作用，在年度综合考核中给予地材业务突出贡献者专项奖励，支持经营、激励创业的导向更加鲜明。</w:t>
      </w:r>
    </w:p>
    <w:p>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default" w:ascii="Times New Roman" w:hAnsi="Times New Roman" w:eastAsia="方正仿宋_GBK" w:cs="宋体"/>
          <w:b w:val="0"/>
          <w:bCs w:val="0"/>
          <w:sz w:val="32"/>
          <w:szCs w:val="24"/>
          <w:lang w:val="en-US" w:eastAsia="zh-CN"/>
        </w:rPr>
      </w:pPr>
      <w:r>
        <w:rPr>
          <w:rFonts w:hint="default" w:ascii="Times New Roman" w:hAnsi="Times New Roman" w:eastAsia="方正仿宋_GBK" w:cs="宋体"/>
          <w:b w:val="0"/>
          <w:bCs w:val="0"/>
          <w:sz w:val="32"/>
          <w:szCs w:val="24"/>
          <w:lang w:val="en-US" w:eastAsia="zh-CN"/>
        </w:rPr>
        <w:t>（四）基础管理提质提效。推进制度“废改立”，制定修订制度48项，编制管理流程图38项。修订完善“三重一大”等决策制度，规范召开党委会、董事会、总经理办公会。扎实开展“安全生产月”等活动，持续加强安全检查和培训演练，全年安全生产形势平稳有序。</w:t>
      </w:r>
      <w:r>
        <w:rPr>
          <w:rFonts w:hint="default" w:ascii="Times New Roman" w:hAnsi="Times New Roman" w:eastAsia="方正仿宋_GBK" w:cs="Times New Roman"/>
          <w:b w:val="0"/>
          <w:bCs w:val="0"/>
          <w:sz w:val="32"/>
          <w:szCs w:val="32"/>
          <w:highlight w:val="none"/>
          <w:lang w:val="en-US" w:eastAsia="zh-CN"/>
        </w:rPr>
        <w:t>拓展多样化融资方式</w:t>
      </w:r>
      <w:r>
        <w:rPr>
          <w:rFonts w:hint="default" w:ascii="Times New Roman" w:hAnsi="Times New Roman" w:eastAsia="方正仿宋_GBK" w:cs="宋体"/>
          <w:b w:val="0"/>
          <w:bCs w:val="0"/>
          <w:sz w:val="32"/>
          <w:szCs w:val="24"/>
          <w:lang w:val="en-US" w:eastAsia="zh-CN"/>
        </w:rPr>
        <w:t>，</w:t>
      </w:r>
      <w:r>
        <w:rPr>
          <w:rFonts w:hint="eastAsia" w:ascii="Times New Roman" w:hAnsi="Times New Roman" w:eastAsia="方正仿宋_GBK" w:cs="Times New Roman"/>
          <w:b w:val="0"/>
          <w:bCs w:val="0"/>
          <w:sz w:val="32"/>
          <w:szCs w:val="32"/>
          <w:highlight w:val="none"/>
          <w:lang w:val="en-US" w:eastAsia="zh-CN"/>
        </w:rPr>
        <w:t>全年经营业务融资成本3.03%，比上年</w:t>
      </w:r>
      <w:r>
        <w:rPr>
          <w:rFonts w:hint="default" w:ascii="Times New Roman" w:hAnsi="Times New Roman" w:eastAsia="方正仿宋_GBK" w:cs="Times New Roman"/>
          <w:b w:val="0"/>
          <w:bCs w:val="0"/>
          <w:sz w:val="32"/>
          <w:szCs w:val="32"/>
          <w:highlight w:val="none"/>
          <w:lang w:val="en-US" w:eastAsia="zh-CN"/>
        </w:rPr>
        <w:t>节约融资成本约100万元</w:t>
      </w:r>
      <w:r>
        <w:rPr>
          <w:rFonts w:hint="default" w:ascii="Times New Roman" w:hAnsi="Times New Roman" w:eastAsia="方正仿宋_GBK" w:cs="宋体"/>
          <w:b w:val="0"/>
          <w:bCs w:val="0"/>
          <w:sz w:val="32"/>
          <w:szCs w:val="24"/>
          <w:lang w:val="en-US" w:eastAsia="zh-CN"/>
        </w:rPr>
        <w:t>。财务共享系统顺利上线，实现“员工少跑腿、数据多跑路”，财务数字化转型和价值创造加力提速。物流信息化综合管理平台在3个园区上线运行并推广应用，有效打破了“信息孤岛”，管控水平进一步提高。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0"/>
        <w:jc w:val="both"/>
        <w:textAlignment w:val="auto"/>
        <w:rPr>
          <w:rFonts w:hint="default" w:ascii="Times New Roman" w:hAnsi="Times New Roman" w:eastAsia="方正仿宋_GBK" w:cs="宋体"/>
          <w:b w:val="0"/>
          <w:bCs w:val="0"/>
          <w:sz w:val="32"/>
          <w:szCs w:val="24"/>
          <w:lang w:val="en-US" w:eastAsia="zh-CN"/>
        </w:rPr>
      </w:pPr>
      <w:r>
        <w:rPr>
          <w:rFonts w:hint="default" w:ascii="Times New Roman" w:hAnsi="Times New Roman" w:eastAsia="方正仿宋_GBK" w:cs="宋体"/>
          <w:b w:val="0"/>
          <w:bCs w:val="0"/>
          <w:sz w:val="32"/>
          <w:szCs w:val="24"/>
          <w:lang w:val="en-US" w:eastAsia="zh-CN"/>
        </w:rPr>
        <w:t>（五）文明创建聚心聚力。成功承办集团“中国梦 劳动美”主题演讲比赛，荣获集团“最美婆媳”荣誉1项，举办团建活动10余场，文化氛围更加浓厚。公司25名职工参加集团运动会，6名职工获得名次，干部职工精神风貌更加昂扬。开展“社会主义核心价值观主题实践教育月”活动，组织文明交通、学雷锋、夏送清凉、敬老爱老等多项志愿服务活动，“我为群众办实事”30余件。省内定点帮扶、省外援藏援疆，采购帮销农产品12万余元，展现国企担当。</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0"/>
        <w:jc w:val="both"/>
        <w:textAlignment w:val="auto"/>
        <w:rPr>
          <w:rFonts w:hint="default" w:ascii="Times New Roman" w:hAnsi="Times New Roman" w:eastAsia="方正仿宋_GBK" w:cs="宋体"/>
          <w:b w:val="0"/>
          <w:bCs w:val="0"/>
          <w:sz w:val="32"/>
          <w:szCs w:val="24"/>
          <w:lang w:val="en-US" w:eastAsia="zh-CN"/>
        </w:rPr>
      </w:pPr>
      <w:r>
        <w:rPr>
          <w:rFonts w:hint="default" w:ascii="Times New Roman" w:hAnsi="Times New Roman" w:eastAsia="方正仿宋_GBK" w:cs="宋体"/>
          <w:b w:val="0"/>
          <w:bCs w:val="0"/>
          <w:sz w:val="32"/>
          <w:szCs w:val="24"/>
          <w:lang w:val="en-US" w:eastAsia="zh-CN"/>
        </w:rPr>
        <w:t>（六）基层党建</w:t>
      </w:r>
      <w:r>
        <w:rPr>
          <w:rFonts w:hint="default" w:ascii="Times New Roman" w:hAnsi="Times New Roman" w:eastAsia="方正仿宋_GBK" w:cs="宋体"/>
          <w:b w:val="0"/>
          <w:bCs w:val="0"/>
          <w:sz w:val="32"/>
        </w:rPr>
        <w:t>唯实惟先</w:t>
      </w:r>
      <w:r>
        <w:rPr>
          <w:rFonts w:hint="default" w:ascii="Times New Roman" w:hAnsi="Times New Roman" w:eastAsia="方正仿宋_GBK" w:cs="宋体"/>
          <w:b w:val="0"/>
          <w:bCs w:val="0"/>
          <w:sz w:val="32"/>
          <w:szCs w:val="24"/>
          <w:lang w:val="en-US" w:eastAsia="zh-CN"/>
        </w:rPr>
        <w:t>。</w:t>
      </w:r>
      <w:r>
        <w:rPr>
          <w:rFonts w:hint="default" w:ascii="Times New Roman" w:hAnsi="Times New Roman" w:eastAsia="方正仿宋_GBK" w:cs="宋体"/>
          <w:sz w:val="32"/>
          <w:szCs w:val="24"/>
        </w:rPr>
        <w:t>开展党委会“第一议题”学</w:t>
      </w:r>
      <w:r>
        <w:rPr>
          <w:rFonts w:ascii="Times New Roman" w:hAnsi="Times New Roman" w:eastAsia="方正仿宋_GBK" w:cs="宋体"/>
          <w:sz w:val="32"/>
          <w:szCs w:val="24"/>
        </w:rPr>
        <w:t>习35次、理论学习中心组</w:t>
      </w:r>
      <w:r>
        <w:rPr>
          <w:rFonts w:hint="default" w:ascii="Times New Roman" w:hAnsi="Times New Roman" w:eastAsia="方正仿宋_GBK" w:cs="宋体"/>
          <w:sz w:val="32"/>
          <w:szCs w:val="24"/>
          <w:lang w:eastAsia="zh-CN"/>
        </w:rPr>
        <w:t>“</w:t>
      </w:r>
      <w:r>
        <w:rPr>
          <w:rFonts w:hint="default" w:ascii="Times New Roman" w:hAnsi="Times New Roman" w:eastAsia="方正仿宋_GBK" w:cs="宋体"/>
          <w:sz w:val="32"/>
          <w:szCs w:val="24"/>
          <w:lang w:val="en-US" w:eastAsia="zh-CN"/>
        </w:rPr>
        <w:t>首要内容</w:t>
      </w:r>
      <w:r>
        <w:rPr>
          <w:rFonts w:hint="default" w:ascii="Times New Roman" w:hAnsi="Times New Roman" w:eastAsia="方正仿宋_GBK" w:cs="宋体"/>
          <w:sz w:val="32"/>
          <w:szCs w:val="24"/>
          <w:lang w:eastAsia="zh-CN"/>
        </w:rPr>
        <w:t>”</w:t>
      </w:r>
      <w:r>
        <w:rPr>
          <w:rFonts w:ascii="Times New Roman" w:hAnsi="Times New Roman" w:eastAsia="方正仿宋_GBK" w:cs="宋体"/>
          <w:sz w:val="32"/>
          <w:szCs w:val="24"/>
        </w:rPr>
        <w:t>学习</w:t>
      </w:r>
      <w:r>
        <w:rPr>
          <w:rFonts w:hint="default" w:ascii="Times New Roman" w:hAnsi="Times New Roman" w:eastAsia="方正仿宋_GBK" w:cs="宋体"/>
          <w:sz w:val="32"/>
          <w:szCs w:val="24"/>
          <w:lang w:eastAsia="zh-CN"/>
        </w:rPr>
        <w:t>1</w:t>
      </w:r>
      <w:r>
        <w:rPr>
          <w:rFonts w:hint="default" w:ascii="Times New Roman" w:hAnsi="Times New Roman" w:eastAsia="方正仿宋_GBK" w:cs="宋体"/>
          <w:sz w:val="32"/>
          <w:szCs w:val="24"/>
          <w:lang w:val="en-US" w:eastAsia="zh-CN"/>
        </w:rPr>
        <w:t>4</w:t>
      </w:r>
      <w:r>
        <w:rPr>
          <w:rFonts w:ascii="Times New Roman" w:hAnsi="Times New Roman" w:eastAsia="方正仿宋_GBK" w:cs="宋体"/>
          <w:sz w:val="32"/>
          <w:szCs w:val="24"/>
        </w:rPr>
        <w:t>次，理论武装持续加强。</w:t>
      </w:r>
      <w:r>
        <w:rPr>
          <w:rFonts w:hint="default" w:ascii="Times New Roman" w:hAnsi="Times New Roman" w:eastAsia="方正仿宋_GBK" w:cs="宋体"/>
          <w:sz w:val="32"/>
          <w:szCs w:val="24"/>
          <w:lang w:val="en-US" w:eastAsia="zh-CN"/>
        </w:rPr>
        <w:t>开展主题教育、贯彻党的二十大精神等重大主题宣传，</w:t>
      </w:r>
      <w:r>
        <w:rPr>
          <w:rFonts w:hint="default" w:ascii="Times New Roman" w:hAnsi="Times New Roman" w:eastAsia="方正仿宋_GBK" w:cs="宋体"/>
          <w:b w:val="0"/>
          <w:bCs w:val="0"/>
          <w:sz w:val="32"/>
          <w:szCs w:val="24"/>
          <w:lang w:val="en-US" w:eastAsia="zh-CN"/>
        </w:rPr>
        <w:t>意识形态领域持续稳定。组织参观渡江战役总前委旧址、</w:t>
      </w:r>
      <w:r>
        <w:rPr>
          <w:rFonts w:hint="default" w:ascii="Times New Roman" w:hAnsi="Times New Roman" w:eastAsia="方正仿宋_GBK" w:cs="宋体"/>
          <w:b w:val="0"/>
          <w:bCs w:val="0"/>
          <w:sz w:val="32"/>
          <w:szCs w:val="24"/>
          <w:lang w:val="en-US" w:eastAsia="zh-CN"/>
        </w:rPr>
        <w:fldChar w:fldCharType="begin"/>
      </w:r>
      <w:r>
        <w:rPr>
          <w:rFonts w:hint="default" w:ascii="Times New Roman" w:hAnsi="Times New Roman" w:eastAsia="方正仿宋_GBK" w:cs="宋体"/>
          <w:b w:val="0"/>
          <w:bCs w:val="0"/>
          <w:sz w:val="32"/>
          <w:szCs w:val="24"/>
          <w:lang w:val="en-US" w:eastAsia="zh-CN"/>
        </w:rPr>
        <w:instrText xml:space="preserve"> HYPERLINK "javascript:openFullWindowForXtable("/docs/docs/DocDsp.jsp?id=42026");doReadId(this,42026)" </w:instrText>
      </w:r>
      <w:r>
        <w:rPr>
          <w:rFonts w:hint="default" w:ascii="Times New Roman" w:hAnsi="Times New Roman" w:eastAsia="方正仿宋_GBK" w:cs="宋体"/>
          <w:b w:val="0"/>
          <w:bCs w:val="0"/>
          <w:sz w:val="32"/>
          <w:szCs w:val="24"/>
          <w:lang w:val="en-US" w:eastAsia="zh-CN"/>
        </w:rPr>
        <w:fldChar w:fldCharType="separate"/>
      </w:r>
      <w:r>
        <w:rPr>
          <w:rFonts w:hint="default" w:ascii="Times New Roman" w:hAnsi="Times New Roman" w:eastAsia="方正仿宋_GBK" w:cs="宋体"/>
          <w:b w:val="0"/>
          <w:bCs w:val="0"/>
          <w:sz w:val="32"/>
          <w:szCs w:val="24"/>
          <w:lang w:val="en-US" w:eastAsia="zh-CN"/>
        </w:rPr>
        <w:t>大别山安徽红色区域中心纪念馆</w:t>
      </w:r>
      <w:r>
        <w:rPr>
          <w:rFonts w:hint="default" w:ascii="Times New Roman" w:hAnsi="Times New Roman" w:eastAsia="方正仿宋_GBK" w:cs="宋体"/>
          <w:b w:val="0"/>
          <w:bCs w:val="0"/>
          <w:sz w:val="32"/>
          <w:szCs w:val="24"/>
          <w:lang w:val="en-US" w:eastAsia="zh-CN"/>
        </w:rPr>
        <w:fldChar w:fldCharType="end"/>
      </w:r>
      <w:r>
        <w:rPr>
          <w:rFonts w:hint="default" w:ascii="Times New Roman" w:hAnsi="Times New Roman" w:eastAsia="方正仿宋_GBK" w:cs="宋体"/>
          <w:b w:val="0"/>
          <w:bCs w:val="0"/>
          <w:sz w:val="32"/>
          <w:szCs w:val="24"/>
          <w:lang w:val="en-US" w:eastAsia="zh-CN"/>
        </w:rPr>
        <w:t>等教育基地，传承红色基因。加强基层组织建设、专职党务工作人员队伍建设，4个支部完成换届或委员增补，预备党员接收及转正共7人，入选集团党务内训师1人，</w:t>
      </w:r>
      <w:r>
        <w:rPr>
          <w:rFonts w:hint="default" w:ascii="Times New Roman" w:hAnsi="Times New Roman" w:eastAsia="方正仿宋_GBK" w:cs="宋体"/>
          <w:sz w:val="32"/>
          <w:szCs w:val="24"/>
          <w:lang w:val="en-US" w:eastAsia="zh-CN"/>
        </w:rPr>
        <w:t>推荐集团党务人才储备库6人，建立专职党务工作人员队伍12人</w:t>
      </w:r>
      <w:r>
        <w:rPr>
          <w:rFonts w:hint="default" w:ascii="Times New Roman" w:hAnsi="Times New Roman" w:eastAsia="方正仿宋_GBK" w:cs="宋体"/>
          <w:b w:val="0"/>
          <w:bCs w:val="0"/>
          <w:kern w:val="2"/>
          <w:sz w:val="32"/>
          <w:szCs w:val="24"/>
          <w:rtl w:val="0"/>
          <w:lang w:val="en-US" w:eastAsia="zh-CN" w:bidi="ar-SA"/>
        </w:rPr>
        <w:t>。</w:t>
      </w:r>
      <w:r>
        <w:rPr>
          <w:rFonts w:hint="default" w:ascii="Times New Roman" w:hAnsi="Times New Roman" w:eastAsia="方正仿宋_GBK" w:cs="宋体"/>
          <w:b w:val="0"/>
          <w:bCs w:val="0"/>
          <w:sz w:val="32"/>
          <w:szCs w:val="24"/>
          <w:lang w:val="en-US" w:eastAsia="zh-CN"/>
        </w:rPr>
        <w:t>有效落实“党建+信访”机制，妥善处理1件省信访局转办事项。</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0"/>
        <w:jc w:val="both"/>
        <w:textAlignment w:val="auto"/>
        <w:rPr>
          <w:rFonts w:hint="default" w:ascii="Times New Roman" w:hAnsi="Times New Roman" w:eastAsia="方正仿宋_GBK" w:cs="宋体"/>
          <w:sz w:val="32"/>
          <w:lang w:eastAsia="zh-CN"/>
        </w:rPr>
      </w:pPr>
      <w:r>
        <w:rPr>
          <w:rFonts w:hint="default" w:ascii="Times New Roman" w:hAnsi="Times New Roman" w:eastAsia="方正仿宋_GBK" w:cs="宋体"/>
          <w:b w:val="0"/>
          <w:bCs w:val="0"/>
          <w:sz w:val="32"/>
          <w:szCs w:val="24"/>
        </w:rPr>
        <w:t>（七）政治生态净化优化。</w:t>
      </w:r>
      <w:r>
        <w:rPr>
          <w:rFonts w:hint="default" w:ascii="Times New Roman" w:hAnsi="Times New Roman" w:eastAsia="方正仿宋_GBK" w:cs="宋体"/>
          <w:b w:val="0"/>
          <w:bCs w:val="0"/>
          <w:sz w:val="32"/>
          <w:szCs w:val="24"/>
          <w:lang w:val="en-US" w:eastAsia="zh-CN"/>
        </w:rPr>
        <w:t>纪检监察体制改革按期完成，全面接受集团纪委第二派驻纪检组监督。深入落实全面从严治党、党风廉政建设主体责任，廉政谈话、警示教育、专项整治、案件查办、廉洁文化建设等一整套“组合拳”落地见效，“不敢腐、不能腐、不想腐”一体推进。</w:t>
      </w:r>
      <w:r>
        <w:rPr>
          <w:rFonts w:hint="default" w:ascii="Times New Roman" w:hAnsi="Times New Roman" w:eastAsia="方正仿宋_GBK" w:cs="宋体"/>
          <w:sz w:val="32"/>
          <w:szCs w:val="24"/>
          <w:lang w:val="en-US" w:eastAsia="zh-CN"/>
        </w:rPr>
        <w:t>汲取深刻教训，切实举一反三，深化“三个以案”，政治生态不断净化，纪律保障更加凸显。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DllNTM0OTc3NTE5NzRjODc4OGJhMDBiNmIzNWMifQ=="/>
  </w:docVars>
  <w:rsids>
    <w:rsidRoot w:val="1D640E8D"/>
    <w:rsid w:val="00DD3857"/>
    <w:rsid w:val="1D640E8D"/>
    <w:rsid w:val="35854886"/>
    <w:rsid w:val="5C19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2024-03-15T03:54:00Z</dcterms:created>
  <dc:creator>朱思环</dc:creator>
  <cp:lastModifiedBy>朱思环</cp:lastModifiedBy>
  <dcterms:modified xsi:type="dcterms:W3CDTF">2024-03-15T03:55:14Z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6B0D56F7735B41D086EFF761EF11024A_11</vt:lpwstr>
  </property>
</Properties>
</file>